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627BBAA"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240" w:lineRule="auto"/>
        <w:jc w:val="center"/>
        <w:rPr>
          <w:rFonts w:hint="default" w:ascii="Calibri" w:hAnsi="Calibri" w:eastAsia="宋体" w:cs="Calibri"/>
          <w:bCs/>
          <w:color w:val="auto"/>
          <w:sz w:val="21"/>
          <w:szCs w:val="21"/>
          <w:lang w:val="en-US" w:eastAsia="zh-CN"/>
        </w:rPr>
      </w:pPr>
      <w:r>
        <w:rPr>
          <w:rFonts w:hint="default" w:ascii="Calibri" w:hAnsi="Calibri" w:eastAsia="宋体" w:cs="Calibri"/>
          <w:bCs/>
          <w:color w:val="auto"/>
          <w:sz w:val="21"/>
          <w:szCs w:val="21"/>
          <w:lang w:val="en-US" w:eastAsia="zh-CN"/>
        </w:rPr>
        <w:t>Table 1 Variable Measurement</w:t>
      </w:r>
    </w:p>
    <w:tbl>
      <w:tblPr>
        <w:tblStyle w:val="3"/>
        <w:tblW w:w="9162" w:type="dxa"/>
        <w:jc w:val="center"/>
        <w:tblBorders>
          <w:top w:val="single" w:color="000000" w:sz="12" w:space="0"/>
          <w:left w:val="none" w:color="auto" w:sz="0" w:space="0"/>
          <w:bottom w:val="single" w:color="000000" w:sz="12" w:space="0"/>
          <w:right w:val="none" w:color="auto" w:sz="0" w:space="0"/>
          <w:insideH w:val="single" w:color="000000" w:sz="12" w:space="0"/>
          <w:insideV w:val="single" w:color="000000" w:sz="1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7"/>
        <w:gridCol w:w="2039"/>
        <w:gridCol w:w="5876"/>
      </w:tblGrid>
      <w:tr w14:paraId="1EF1F4DA">
        <w:tblPrEx>
          <w:tblBorders>
            <w:top w:val="single" w:color="000000" w:sz="12" w:space="0"/>
            <w:left w:val="none" w:color="auto" w:sz="0" w:space="0"/>
            <w:bottom w:val="single" w:color="000000" w:sz="12" w:space="0"/>
            <w:right w:val="none" w:color="auto" w:sz="0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247" w:type="dxa"/>
            <w:tcBorders>
              <w:top w:val="single" w:color="000000" w:sz="8" w:space="0"/>
              <w:bottom w:val="single" w:color="000000" w:sz="2" w:space="0"/>
              <w:right w:val="nil"/>
            </w:tcBorders>
            <w:noWrap w:val="0"/>
            <w:vAlign w:val="center"/>
          </w:tcPr>
          <w:p w14:paraId="41009F9C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Calibri" w:hAnsi="Calibri" w:eastAsia="宋体" w:cs="Calibri"/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Calibri" w:hAnsi="Calibri" w:eastAsia="宋体" w:cs="Calibri"/>
                <w:b/>
                <w:bCs/>
                <w:kern w:val="0"/>
                <w:sz w:val="18"/>
                <w:szCs w:val="18"/>
                <w:lang w:val="en-US" w:eastAsia="zh-CN" w:bidi="ar"/>
              </w:rPr>
              <w:t>Variable Type</w:t>
            </w:r>
          </w:p>
        </w:tc>
        <w:tc>
          <w:tcPr>
            <w:tcW w:w="2039" w:type="dxa"/>
            <w:tcBorders>
              <w:top w:val="single" w:color="000000" w:sz="8" w:space="0"/>
              <w:left w:val="nil"/>
              <w:bottom w:val="single" w:color="000000" w:sz="2" w:space="0"/>
              <w:right w:val="nil"/>
            </w:tcBorders>
            <w:noWrap w:val="0"/>
            <w:vAlign w:val="center"/>
          </w:tcPr>
          <w:p w14:paraId="2A12C8A1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Calibri" w:hAnsi="Calibri" w:eastAsia="宋体" w:cs="Calibri"/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Calibri" w:hAnsi="Calibri" w:eastAsia="宋体" w:cs="Calibri"/>
                <w:b/>
                <w:bCs/>
                <w:kern w:val="0"/>
                <w:sz w:val="18"/>
                <w:szCs w:val="18"/>
                <w:lang w:val="en-US" w:eastAsia="zh-CN" w:bidi="ar"/>
              </w:rPr>
              <w:t>Variable Name</w:t>
            </w:r>
          </w:p>
        </w:tc>
        <w:tc>
          <w:tcPr>
            <w:tcW w:w="5876" w:type="dxa"/>
            <w:tcBorders>
              <w:top w:val="single" w:color="000000" w:sz="8" w:space="0"/>
              <w:left w:val="nil"/>
              <w:bottom w:val="single" w:color="000000" w:sz="2" w:space="0"/>
            </w:tcBorders>
            <w:noWrap w:val="0"/>
            <w:vAlign w:val="center"/>
          </w:tcPr>
          <w:p w14:paraId="4B99B415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Calibri" w:hAnsi="Calibri" w:eastAsia="宋体" w:cs="Calibri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Calibri" w:hAnsi="Calibri" w:eastAsia="宋体" w:cs="Calibri"/>
                <w:b/>
                <w:bCs/>
                <w:kern w:val="0"/>
                <w:sz w:val="18"/>
                <w:szCs w:val="18"/>
                <w:lang w:val="en-US" w:eastAsia="zh-CN" w:bidi="ar"/>
              </w:rPr>
              <w:t>Variable Measurement</w:t>
            </w:r>
          </w:p>
        </w:tc>
      </w:tr>
      <w:tr w14:paraId="65577227">
        <w:tblPrEx>
          <w:tblBorders>
            <w:top w:val="single" w:color="000000" w:sz="12" w:space="0"/>
            <w:left w:val="none" w:color="auto" w:sz="0" w:space="0"/>
            <w:bottom w:val="single" w:color="000000" w:sz="12" w:space="0"/>
            <w:right w:val="none" w:color="auto" w:sz="0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47" w:type="dxa"/>
            <w:tcBorders>
              <w:top w:val="single" w:color="000000" w:sz="2" w:space="0"/>
              <w:bottom w:val="nil"/>
              <w:right w:val="nil"/>
            </w:tcBorders>
            <w:noWrap w:val="0"/>
            <w:vAlign w:val="center"/>
          </w:tcPr>
          <w:p w14:paraId="7935811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Calibri" w:hAnsi="Calibri" w:eastAsia="宋体" w:cs="Calibri"/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Calibri" w:hAnsi="Calibri" w:eastAsia="宋体" w:cs="Calibri"/>
                <w:color w:val="auto"/>
                <w:sz w:val="18"/>
                <w:szCs w:val="18"/>
                <w:highlight w:val="none"/>
              </w:rPr>
              <w:t>Dependent Variable</w:t>
            </w:r>
          </w:p>
        </w:tc>
        <w:tc>
          <w:tcPr>
            <w:tcW w:w="2039" w:type="dxa"/>
            <w:tcBorders>
              <w:top w:val="single" w:color="000000" w:sz="2" w:space="0"/>
              <w:left w:val="nil"/>
              <w:bottom w:val="nil"/>
              <w:right w:val="nil"/>
            </w:tcBorders>
            <w:noWrap w:val="0"/>
            <w:vAlign w:val="center"/>
          </w:tcPr>
          <w:p w14:paraId="4DEF5A4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Calibri" w:hAnsi="Calibri" w:eastAsia="宋体" w:cs="Calibri"/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Calibri" w:hAnsi="Calibri" w:eastAsia="宋体" w:cs="Calibri"/>
                <w:color w:val="auto"/>
                <w:sz w:val="18"/>
                <w:szCs w:val="18"/>
                <w:highlight w:val="none"/>
              </w:rPr>
              <w:t>GUEWR</w:t>
            </w:r>
          </w:p>
        </w:tc>
        <w:tc>
          <w:tcPr>
            <w:tcW w:w="5876" w:type="dxa"/>
            <w:tcBorders>
              <w:top w:val="single" w:color="000000" w:sz="2" w:space="0"/>
              <w:left w:val="nil"/>
              <w:bottom w:val="nil"/>
            </w:tcBorders>
            <w:noWrap w:val="0"/>
            <w:vAlign w:val="center"/>
          </w:tcPr>
          <w:p w14:paraId="6766509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Calibri" w:hAnsi="Calibri" w:eastAsia="宋体" w:cs="Calibri"/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Calibri" w:hAnsi="Calibri" w:eastAsia="宋体" w:cs="Calibri"/>
                <w:kern w:val="0"/>
                <w:sz w:val="18"/>
                <w:szCs w:val="18"/>
                <w:lang w:val="en-US" w:eastAsia="zh-CN" w:bidi="ar"/>
              </w:rPr>
              <w:t>Calculated based on the EBM model</w:t>
            </w:r>
          </w:p>
        </w:tc>
      </w:tr>
      <w:tr w14:paraId="01595DCC">
        <w:tblPrEx>
          <w:tblBorders>
            <w:top w:val="single" w:color="000000" w:sz="12" w:space="0"/>
            <w:left w:val="none" w:color="auto" w:sz="0" w:space="0"/>
            <w:bottom w:val="single" w:color="000000" w:sz="12" w:space="0"/>
            <w:right w:val="none" w:color="auto" w:sz="0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47" w:type="dxa"/>
            <w:tcBorders>
              <w:top w:val="nil"/>
              <w:bottom w:val="nil"/>
              <w:right w:val="nil"/>
            </w:tcBorders>
            <w:noWrap w:val="0"/>
            <w:vAlign w:val="center"/>
          </w:tcPr>
          <w:p w14:paraId="59FEFCE9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Calibri" w:hAnsi="Calibri" w:eastAsia="宋体" w:cs="Calibri"/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Calibri" w:hAnsi="Calibri" w:eastAsia="宋体" w:cs="Calibri"/>
                <w:kern w:val="0"/>
                <w:sz w:val="18"/>
                <w:szCs w:val="18"/>
                <w:lang w:val="en-US" w:eastAsia="zh-CN" w:bidi="ar"/>
              </w:rPr>
              <w:t>Independent Variable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60225A30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Calibri" w:hAnsi="Calibri" w:eastAsia="宋体" w:cs="Calibri"/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Calibri" w:hAnsi="Calibri" w:eastAsia="宋体" w:cs="Calibri"/>
                <w:kern w:val="0"/>
                <w:sz w:val="18"/>
                <w:szCs w:val="18"/>
                <w:lang w:val="en-US" w:eastAsia="zh-CN" w:bidi="ar"/>
              </w:rPr>
              <w:t>Green Finance Policy</w:t>
            </w:r>
          </w:p>
        </w:tc>
        <w:tc>
          <w:tcPr>
            <w:tcW w:w="5876" w:type="dxa"/>
            <w:tcBorders>
              <w:top w:val="nil"/>
              <w:left w:val="nil"/>
              <w:bottom w:val="nil"/>
            </w:tcBorders>
            <w:noWrap w:val="0"/>
            <w:vAlign w:val="center"/>
          </w:tcPr>
          <w:p w14:paraId="3BD137E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Calibri" w:hAnsi="Calibri" w:eastAsia="宋体" w:cs="Calibri"/>
                <w:color w:val="auto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default" w:ascii="Calibri" w:hAnsi="Calibri" w:eastAsia="宋体" w:cs="Calibri"/>
                <w:color w:val="auto"/>
                <w:sz w:val="18"/>
                <w:szCs w:val="18"/>
                <w:highlight w:val="none"/>
                <w:lang w:val="en-US" w:eastAsia="zh-CN"/>
              </w:rPr>
              <w:t xml:space="preserve">A dummy variable. If a city is a pilot city in the GFRIPZ, </w:t>
            </w:r>
            <w:r>
              <w:rPr>
                <w:rFonts w:hint="default" w:ascii="Calibri" w:hAnsi="Calibri" w:eastAsia="宋体" w:cs="Calibri"/>
                <w:i/>
                <w:iCs/>
                <w:color w:val="auto"/>
                <w:sz w:val="18"/>
                <w:szCs w:val="18"/>
                <w:highlight w:val="none"/>
                <w:lang w:val="en-US" w:eastAsia="zh-CN"/>
              </w:rPr>
              <w:t>Gfg</w:t>
            </w:r>
            <w:r>
              <w:rPr>
                <w:rFonts w:hint="default" w:ascii="Calibri" w:hAnsi="Calibri" w:eastAsia="宋体" w:cs="Calibri"/>
                <w:color w:val="auto"/>
                <w:sz w:val="18"/>
                <w:szCs w:val="18"/>
                <w:highlight w:val="none"/>
                <w:lang w:val="en-US" w:eastAsia="zh-CN"/>
              </w:rPr>
              <w:t xml:space="preserve"> takes the value of 1 for the year of inclusion and subsequent years; otherwise, it is 0.</w:t>
            </w:r>
          </w:p>
        </w:tc>
      </w:tr>
      <w:tr w14:paraId="00A1090B">
        <w:tblPrEx>
          <w:tblBorders>
            <w:top w:val="single" w:color="000000" w:sz="12" w:space="0"/>
            <w:left w:val="none" w:color="auto" w:sz="0" w:space="0"/>
            <w:bottom w:val="single" w:color="000000" w:sz="12" w:space="0"/>
            <w:right w:val="none" w:color="auto" w:sz="0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47" w:type="dxa"/>
            <w:vMerge w:val="restart"/>
            <w:tcBorders>
              <w:top w:val="nil"/>
              <w:bottom w:val="nil"/>
              <w:right w:val="nil"/>
            </w:tcBorders>
            <w:noWrap w:val="0"/>
            <w:vAlign w:val="center"/>
          </w:tcPr>
          <w:p w14:paraId="6270C8F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Calibri" w:hAnsi="Calibri" w:eastAsia="宋体" w:cs="Calibri"/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Calibri" w:hAnsi="Calibri" w:eastAsia="宋体" w:cs="Calibri"/>
                <w:color w:val="auto"/>
                <w:sz w:val="18"/>
                <w:szCs w:val="18"/>
                <w:highlight w:val="none"/>
              </w:rPr>
              <w:t>Control Variables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104AC035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Calibri" w:hAnsi="Calibri" w:eastAsia="宋体" w:cs="Calibri"/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Calibri" w:hAnsi="Calibri" w:eastAsia="宋体" w:cs="Calibri"/>
                <w:kern w:val="0"/>
                <w:sz w:val="18"/>
                <w:szCs w:val="18"/>
                <w:lang w:val="en-US" w:eastAsia="zh-CN" w:bidi="ar"/>
              </w:rPr>
              <w:t>Urbanization Level</w:t>
            </w:r>
          </w:p>
        </w:tc>
        <w:tc>
          <w:tcPr>
            <w:tcW w:w="5876" w:type="dxa"/>
            <w:tcBorders>
              <w:top w:val="nil"/>
              <w:left w:val="nil"/>
              <w:bottom w:val="nil"/>
            </w:tcBorders>
            <w:noWrap w:val="0"/>
            <w:vAlign w:val="center"/>
          </w:tcPr>
          <w:p w14:paraId="2983E31E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Calibri" w:hAnsi="Calibri" w:eastAsia="宋体" w:cs="Calibri"/>
                <w:color w:val="auto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default" w:ascii="Calibri" w:hAnsi="Calibri" w:eastAsia="宋体" w:cs="Calibri"/>
                <w:kern w:val="0"/>
                <w:sz w:val="18"/>
                <w:szCs w:val="18"/>
                <w:lang w:val="en-US" w:eastAsia="zh-CN" w:bidi="ar"/>
              </w:rPr>
              <w:t>The urbanization rate of the permanent population</w:t>
            </w:r>
          </w:p>
        </w:tc>
      </w:tr>
      <w:tr w14:paraId="32EC7ADA">
        <w:tblPrEx>
          <w:tblBorders>
            <w:top w:val="single" w:color="000000" w:sz="12" w:space="0"/>
            <w:left w:val="none" w:color="auto" w:sz="0" w:space="0"/>
            <w:bottom w:val="single" w:color="000000" w:sz="12" w:space="0"/>
            <w:right w:val="none" w:color="auto" w:sz="0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47" w:type="dxa"/>
            <w:vMerge w:val="continue"/>
            <w:tcBorders>
              <w:top w:val="nil"/>
              <w:bottom w:val="nil"/>
              <w:right w:val="nil"/>
            </w:tcBorders>
            <w:noWrap w:val="0"/>
            <w:vAlign w:val="center"/>
          </w:tcPr>
          <w:p w14:paraId="0801137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Calibri" w:hAnsi="Calibri" w:eastAsia="宋体" w:cs="Calibri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27E792DE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Calibri" w:hAnsi="Calibri" w:eastAsia="宋体" w:cs="Calibri"/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Calibri" w:hAnsi="Calibri" w:eastAsia="宋体" w:cs="Calibri"/>
                <w:kern w:val="0"/>
                <w:sz w:val="18"/>
                <w:szCs w:val="18"/>
                <w:lang w:val="en-US" w:eastAsia="zh-CN" w:bidi="ar"/>
              </w:rPr>
              <w:t>Foreign Direct Investment</w:t>
            </w:r>
          </w:p>
        </w:tc>
        <w:tc>
          <w:tcPr>
            <w:tcW w:w="5876" w:type="dxa"/>
            <w:tcBorders>
              <w:top w:val="nil"/>
              <w:left w:val="nil"/>
              <w:bottom w:val="nil"/>
            </w:tcBorders>
            <w:noWrap w:val="0"/>
            <w:vAlign w:val="center"/>
          </w:tcPr>
          <w:p w14:paraId="12738A41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Calibri" w:hAnsi="Calibri" w:eastAsia="宋体" w:cs="Calibri"/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Calibri" w:hAnsi="Calibri" w:eastAsia="宋体" w:cs="Calibri"/>
                <w:kern w:val="0"/>
                <w:sz w:val="18"/>
                <w:szCs w:val="18"/>
                <w:lang w:val="en-US" w:eastAsia="zh-CN" w:bidi="ar"/>
              </w:rPr>
              <w:t>The ratio of actual utilized foreign capital to GDP</w:t>
            </w:r>
          </w:p>
        </w:tc>
      </w:tr>
      <w:tr w14:paraId="780446A0">
        <w:tblPrEx>
          <w:tblBorders>
            <w:top w:val="single" w:color="000000" w:sz="12" w:space="0"/>
            <w:left w:val="none" w:color="auto" w:sz="0" w:space="0"/>
            <w:bottom w:val="single" w:color="000000" w:sz="12" w:space="0"/>
            <w:right w:val="none" w:color="auto" w:sz="0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47" w:type="dxa"/>
            <w:vMerge w:val="continue"/>
            <w:tcBorders>
              <w:top w:val="nil"/>
              <w:bottom w:val="nil"/>
              <w:right w:val="nil"/>
            </w:tcBorders>
            <w:noWrap w:val="0"/>
            <w:vAlign w:val="center"/>
          </w:tcPr>
          <w:p w14:paraId="1A53C10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Calibri" w:hAnsi="Calibri" w:eastAsia="宋体" w:cs="Calibri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 w:val="0"/>
            <w:vAlign w:val="center"/>
          </w:tcPr>
          <w:p w14:paraId="30C3B869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kern w:val="0"/>
                <w:sz w:val="18"/>
                <w:szCs w:val="18"/>
                <w:lang w:val="en-US" w:eastAsia="zh-CN" w:bidi="ar"/>
              </w:rPr>
              <w:t xml:space="preserve">Trade Openness </w:t>
            </w:r>
          </w:p>
        </w:tc>
        <w:tc>
          <w:tcPr>
            <w:tcW w:w="5876" w:type="dxa"/>
            <w:tcBorders>
              <w:top w:val="nil"/>
              <w:left w:val="nil"/>
              <w:bottom w:val="nil"/>
            </w:tcBorders>
            <w:shd w:val="clear" w:color="auto" w:fill="auto"/>
            <w:noWrap w:val="0"/>
            <w:vAlign w:val="center"/>
          </w:tcPr>
          <w:p w14:paraId="0C75C343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kern w:val="0"/>
                <w:sz w:val="18"/>
                <w:szCs w:val="18"/>
                <w:lang w:val="en-US" w:eastAsia="zh-CN" w:bidi="ar"/>
              </w:rPr>
              <w:t>The ratio of total imports and exports to GDP</w:t>
            </w:r>
          </w:p>
        </w:tc>
      </w:tr>
      <w:tr w14:paraId="01810B28">
        <w:tblPrEx>
          <w:tblBorders>
            <w:top w:val="single" w:color="000000" w:sz="12" w:space="0"/>
            <w:left w:val="none" w:color="auto" w:sz="0" w:space="0"/>
            <w:bottom w:val="single" w:color="000000" w:sz="12" w:space="0"/>
            <w:right w:val="none" w:color="auto" w:sz="0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47" w:type="dxa"/>
            <w:vMerge w:val="continue"/>
            <w:tcBorders>
              <w:top w:val="nil"/>
              <w:bottom w:val="nil"/>
              <w:right w:val="nil"/>
            </w:tcBorders>
            <w:noWrap w:val="0"/>
            <w:vAlign w:val="center"/>
          </w:tcPr>
          <w:p w14:paraId="3EC7711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Calibri" w:hAnsi="Calibri" w:eastAsia="宋体" w:cs="Calibri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47DE8A33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Calibri" w:hAnsi="Calibri" w:eastAsia="宋体" w:cs="Calibri"/>
                <w:color w:val="auto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default" w:ascii="Calibri" w:hAnsi="Calibri" w:eastAsia="宋体" w:cs="Calibri"/>
                <w:kern w:val="0"/>
                <w:sz w:val="18"/>
                <w:szCs w:val="18"/>
                <w:lang w:val="en-US" w:eastAsia="zh-CN" w:bidi="ar"/>
              </w:rPr>
              <w:t>Human Capital</w:t>
            </w:r>
          </w:p>
        </w:tc>
        <w:tc>
          <w:tcPr>
            <w:tcW w:w="5876" w:type="dxa"/>
            <w:tcBorders>
              <w:top w:val="nil"/>
              <w:left w:val="nil"/>
              <w:bottom w:val="nil"/>
            </w:tcBorders>
            <w:noWrap w:val="0"/>
            <w:vAlign w:val="center"/>
          </w:tcPr>
          <w:p w14:paraId="360A832D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Calibri" w:hAnsi="Calibri" w:eastAsia="宋体" w:cs="Calibri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Calibri" w:hAnsi="Calibri" w:eastAsia="宋体" w:cs="Calibri"/>
                <w:kern w:val="0"/>
                <w:sz w:val="18"/>
                <w:szCs w:val="18"/>
                <w:lang w:val="en-US" w:eastAsia="zh-CN" w:bidi="ar"/>
              </w:rPr>
              <w:t>The density of high-skilled labor</w:t>
            </w:r>
          </w:p>
        </w:tc>
      </w:tr>
      <w:tr w14:paraId="413F34CC">
        <w:tblPrEx>
          <w:tblBorders>
            <w:top w:val="single" w:color="000000" w:sz="12" w:space="0"/>
            <w:left w:val="none" w:color="auto" w:sz="0" w:space="0"/>
            <w:bottom w:val="single" w:color="000000" w:sz="12" w:space="0"/>
            <w:right w:val="none" w:color="auto" w:sz="0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47" w:type="dxa"/>
            <w:vMerge w:val="continue"/>
            <w:tcBorders>
              <w:top w:val="nil"/>
              <w:bottom w:val="nil"/>
              <w:right w:val="nil"/>
            </w:tcBorders>
            <w:noWrap w:val="0"/>
            <w:vAlign w:val="center"/>
          </w:tcPr>
          <w:p w14:paraId="7989475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Calibri" w:hAnsi="Calibri" w:eastAsia="宋体" w:cs="Calibri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 w:val="0"/>
            <w:vAlign w:val="center"/>
          </w:tcPr>
          <w:p w14:paraId="45EDA6F8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kern w:val="0"/>
                <w:sz w:val="18"/>
                <w:szCs w:val="18"/>
                <w:lang w:val="en-US" w:eastAsia="zh-CN" w:bidi="ar"/>
              </w:rPr>
              <w:t>Water Resource Endowment</w:t>
            </w:r>
          </w:p>
        </w:tc>
        <w:tc>
          <w:tcPr>
            <w:tcW w:w="5876" w:type="dxa"/>
            <w:tcBorders>
              <w:top w:val="nil"/>
              <w:left w:val="nil"/>
              <w:bottom w:val="nil"/>
            </w:tcBorders>
            <w:shd w:val="clear" w:color="auto" w:fill="auto"/>
            <w:noWrap w:val="0"/>
            <w:vAlign w:val="center"/>
          </w:tcPr>
          <w:p w14:paraId="61B5EEF1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kern w:val="0"/>
                <w:sz w:val="18"/>
                <w:szCs w:val="18"/>
                <w:lang w:val="en-US" w:eastAsia="zh-CN" w:bidi="ar"/>
              </w:rPr>
              <w:t>The natural logarithm of per capita water resources</w:t>
            </w:r>
          </w:p>
        </w:tc>
      </w:tr>
      <w:tr w14:paraId="07F6AD9C">
        <w:tblPrEx>
          <w:tblBorders>
            <w:top w:val="single" w:color="000000" w:sz="12" w:space="0"/>
            <w:left w:val="none" w:color="auto" w:sz="0" w:space="0"/>
            <w:bottom w:val="single" w:color="000000" w:sz="12" w:space="0"/>
            <w:right w:val="none" w:color="auto" w:sz="0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47" w:type="dxa"/>
            <w:vMerge w:val="continue"/>
            <w:tcBorders>
              <w:top w:val="nil"/>
              <w:bottom w:val="nil"/>
              <w:right w:val="nil"/>
            </w:tcBorders>
            <w:noWrap w:val="0"/>
            <w:vAlign w:val="center"/>
          </w:tcPr>
          <w:p w14:paraId="3E26F74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Calibri" w:hAnsi="Calibri" w:eastAsia="宋体" w:cs="Calibri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 w:val="0"/>
            <w:vAlign w:val="center"/>
          </w:tcPr>
          <w:p w14:paraId="6E125A0F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kern w:val="0"/>
                <w:sz w:val="18"/>
                <w:szCs w:val="18"/>
                <w:lang w:val="en-US" w:eastAsia="zh-CN" w:bidi="ar"/>
              </w:rPr>
              <w:t>Water Use Structure</w:t>
            </w:r>
          </w:p>
        </w:tc>
        <w:tc>
          <w:tcPr>
            <w:tcW w:w="5876" w:type="dxa"/>
            <w:tcBorders>
              <w:top w:val="nil"/>
              <w:left w:val="nil"/>
              <w:bottom w:val="nil"/>
            </w:tcBorders>
            <w:shd w:val="clear" w:color="auto" w:fill="auto"/>
            <w:noWrap w:val="0"/>
            <w:vAlign w:val="center"/>
          </w:tcPr>
          <w:p w14:paraId="0D4DE3A2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Calibri" w:hAnsi="Calibri" w:eastAsia="宋体" w:cs="Calibri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kern w:val="0"/>
                <w:sz w:val="18"/>
                <w:szCs w:val="18"/>
                <w:lang w:val="en-US" w:eastAsia="zh-CN" w:bidi="ar"/>
              </w:rPr>
              <w:t>The proportion of industrial water use</w:t>
            </w:r>
          </w:p>
        </w:tc>
      </w:tr>
      <w:tr w14:paraId="435CB464">
        <w:tblPrEx>
          <w:tblBorders>
            <w:top w:val="single" w:color="000000" w:sz="12" w:space="0"/>
            <w:left w:val="none" w:color="auto" w:sz="0" w:space="0"/>
            <w:bottom w:val="single" w:color="000000" w:sz="12" w:space="0"/>
            <w:right w:val="none" w:color="auto" w:sz="0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47" w:type="dxa"/>
            <w:vMerge w:val="continue"/>
            <w:tcBorders>
              <w:top w:val="nil"/>
              <w:bottom w:val="nil"/>
              <w:right w:val="nil"/>
            </w:tcBorders>
            <w:noWrap w:val="0"/>
            <w:vAlign w:val="center"/>
          </w:tcPr>
          <w:p w14:paraId="01449F7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Calibri" w:hAnsi="Calibri" w:eastAsia="宋体" w:cs="Calibri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0B201E36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Calibri" w:hAnsi="Calibri" w:eastAsia="宋体" w:cs="Calibri"/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Calibri" w:hAnsi="Calibri" w:eastAsia="宋体" w:cs="Calibri"/>
                <w:kern w:val="0"/>
                <w:sz w:val="18"/>
                <w:szCs w:val="18"/>
                <w:lang w:val="en-US" w:eastAsia="zh-CN" w:bidi="ar"/>
              </w:rPr>
              <w:t>Sewage Treatment</w:t>
            </w:r>
          </w:p>
        </w:tc>
        <w:tc>
          <w:tcPr>
            <w:tcW w:w="5876" w:type="dxa"/>
            <w:tcBorders>
              <w:top w:val="nil"/>
              <w:left w:val="nil"/>
              <w:bottom w:val="nil"/>
            </w:tcBorders>
            <w:noWrap w:val="0"/>
            <w:vAlign w:val="center"/>
          </w:tcPr>
          <w:p w14:paraId="74338156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Calibri" w:hAnsi="Calibri" w:eastAsia="宋体" w:cs="Calibri"/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Calibri" w:hAnsi="Calibri" w:eastAsia="宋体" w:cs="Calibri"/>
                <w:kern w:val="0"/>
                <w:sz w:val="18"/>
                <w:szCs w:val="18"/>
                <w:lang w:val="en-US" w:eastAsia="zh-CN" w:bidi="ar"/>
              </w:rPr>
              <w:t xml:space="preserve"> The centralized treatment rate of sewage treatment plants </w:t>
            </w:r>
          </w:p>
        </w:tc>
      </w:tr>
      <w:tr w14:paraId="2748D022">
        <w:tblPrEx>
          <w:tblBorders>
            <w:top w:val="single" w:color="000000" w:sz="12" w:space="0"/>
            <w:left w:val="none" w:color="auto" w:sz="0" w:space="0"/>
            <w:bottom w:val="single" w:color="000000" w:sz="12" w:space="0"/>
            <w:right w:val="none" w:color="auto" w:sz="0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47" w:type="dxa"/>
            <w:vMerge w:val="restart"/>
            <w:tcBorders>
              <w:top w:val="nil"/>
              <w:right w:val="nil"/>
            </w:tcBorders>
            <w:noWrap w:val="0"/>
            <w:vAlign w:val="center"/>
          </w:tcPr>
          <w:p w14:paraId="2B3B50F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Calibri" w:hAnsi="Calibri" w:eastAsia="宋体" w:cs="Calibri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Calibri" w:hAnsi="Calibri" w:eastAsia="宋体" w:cs="Calibri"/>
                <w:color w:val="auto"/>
                <w:sz w:val="18"/>
                <w:szCs w:val="18"/>
                <w:highlight w:val="none"/>
                <w:lang w:val="en-US" w:eastAsia="zh-CN"/>
              </w:rPr>
              <w:t>Mediating Variables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17438771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Calibri" w:hAnsi="Calibri" w:eastAsia="宋体" w:cs="Calibri"/>
                <w:color w:val="auto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default" w:ascii="Calibri" w:hAnsi="Calibri" w:eastAsia="宋体" w:cs="Calibri"/>
                <w:kern w:val="0"/>
                <w:sz w:val="18"/>
                <w:szCs w:val="18"/>
                <w:lang w:val="en-US" w:eastAsia="zh-CN" w:bidi="ar"/>
              </w:rPr>
              <w:t>Industrial Structure</w:t>
            </w:r>
          </w:p>
        </w:tc>
        <w:tc>
          <w:tcPr>
            <w:tcW w:w="5876" w:type="dxa"/>
            <w:tcBorders>
              <w:top w:val="nil"/>
              <w:left w:val="nil"/>
              <w:bottom w:val="nil"/>
            </w:tcBorders>
            <w:noWrap w:val="0"/>
            <w:vAlign w:val="center"/>
          </w:tcPr>
          <w:p w14:paraId="4EB1E780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Calibri" w:hAnsi="Calibri" w:eastAsia="宋体" w:cs="Calibri"/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Calibri" w:hAnsi="Calibri" w:eastAsia="宋体" w:cs="Calibri"/>
                <w:kern w:val="0"/>
                <w:sz w:val="18"/>
                <w:szCs w:val="18"/>
                <w:lang w:val="en-US" w:eastAsia="zh-CN" w:bidi="ar"/>
              </w:rPr>
              <w:t>The sum of the products of the value-added share of the three industries and their respective labor productivity</w:t>
            </w:r>
          </w:p>
        </w:tc>
      </w:tr>
      <w:tr w14:paraId="0F571158">
        <w:tblPrEx>
          <w:tblBorders>
            <w:top w:val="single" w:color="000000" w:sz="12" w:space="0"/>
            <w:left w:val="none" w:color="auto" w:sz="0" w:space="0"/>
            <w:bottom w:val="single" w:color="000000" w:sz="12" w:space="0"/>
            <w:right w:val="none" w:color="auto" w:sz="0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47" w:type="dxa"/>
            <w:vMerge w:val="continue"/>
            <w:tcBorders>
              <w:right w:val="nil"/>
            </w:tcBorders>
            <w:noWrap w:val="0"/>
            <w:vAlign w:val="center"/>
          </w:tcPr>
          <w:p w14:paraId="2FCEB81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Calibri" w:hAnsi="Calibri" w:eastAsia="宋体" w:cs="Calibri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2F9D6CAF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Calibri" w:hAnsi="Calibri" w:eastAsia="宋体" w:cs="Calibri"/>
                <w:color w:val="auto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default" w:ascii="Calibri" w:hAnsi="Calibri" w:eastAsia="宋体" w:cs="Calibri"/>
                <w:kern w:val="0"/>
                <w:sz w:val="18"/>
                <w:szCs w:val="18"/>
                <w:lang w:val="en-US" w:eastAsia="zh-CN" w:bidi="ar"/>
              </w:rPr>
              <w:t>Green Technology Innovation</w:t>
            </w:r>
          </w:p>
        </w:tc>
        <w:tc>
          <w:tcPr>
            <w:tcW w:w="5876" w:type="dxa"/>
            <w:tcBorders>
              <w:top w:val="nil"/>
              <w:left w:val="nil"/>
              <w:bottom w:val="nil"/>
            </w:tcBorders>
            <w:noWrap w:val="0"/>
            <w:vAlign w:val="center"/>
          </w:tcPr>
          <w:p w14:paraId="4F14EDFB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Calibri" w:hAnsi="Calibri" w:eastAsia="宋体" w:cs="Calibri"/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Calibri" w:hAnsi="Calibri" w:eastAsia="宋体" w:cs="Calibri"/>
                <w:color w:val="auto"/>
                <w:sz w:val="18"/>
                <w:szCs w:val="18"/>
                <w:highlight w:val="none"/>
                <w:lang w:val="en-US" w:eastAsia="zh-CN"/>
              </w:rPr>
              <w:t>T</w:t>
            </w:r>
            <w:r>
              <w:rPr>
                <w:rFonts w:hint="default" w:ascii="Calibri" w:hAnsi="Calibri" w:eastAsia="宋体" w:cs="Calibri"/>
                <w:color w:val="auto"/>
                <w:sz w:val="18"/>
                <w:szCs w:val="18"/>
                <w:highlight w:val="none"/>
              </w:rPr>
              <w:t>he ratio of green patents granted to total patents granted</w:t>
            </w:r>
          </w:p>
        </w:tc>
      </w:tr>
      <w:tr w14:paraId="08F5D0E1">
        <w:tblPrEx>
          <w:tblBorders>
            <w:top w:val="single" w:color="000000" w:sz="12" w:space="0"/>
            <w:left w:val="none" w:color="auto" w:sz="0" w:space="0"/>
            <w:bottom w:val="single" w:color="000000" w:sz="12" w:space="0"/>
            <w:right w:val="none" w:color="auto" w:sz="0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47" w:type="dxa"/>
            <w:vMerge w:val="continue"/>
            <w:tcBorders>
              <w:right w:val="nil"/>
            </w:tcBorders>
            <w:noWrap w:val="0"/>
            <w:vAlign w:val="center"/>
          </w:tcPr>
          <w:p w14:paraId="2455CE1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Calibri" w:hAnsi="Calibri" w:eastAsia="宋体" w:cs="Calibri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510E8009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Calibri" w:hAnsi="Calibri" w:eastAsia="宋体" w:cs="Calibri"/>
                <w:color w:val="auto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default" w:ascii="Calibri" w:hAnsi="Calibri" w:eastAsia="宋体" w:cs="Calibri"/>
                <w:kern w:val="0"/>
                <w:sz w:val="18"/>
                <w:szCs w:val="18"/>
                <w:lang w:val="en-US" w:eastAsia="zh-CN" w:bidi="ar"/>
              </w:rPr>
              <w:t>Financing Constraints</w:t>
            </w:r>
          </w:p>
        </w:tc>
        <w:tc>
          <w:tcPr>
            <w:tcW w:w="5876" w:type="dxa"/>
            <w:tcBorders>
              <w:top w:val="nil"/>
              <w:left w:val="nil"/>
              <w:bottom w:val="nil"/>
            </w:tcBorders>
            <w:noWrap w:val="0"/>
            <w:vAlign w:val="center"/>
          </w:tcPr>
          <w:p w14:paraId="4ACC446C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Calibri" w:hAnsi="Calibri" w:eastAsia="宋体" w:cs="Calibri"/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Calibri" w:hAnsi="Calibri" w:eastAsia="宋体" w:cs="Calibri"/>
                <w:color w:val="auto"/>
                <w:sz w:val="18"/>
                <w:szCs w:val="18"/>
                <w:highlight w:val="none"/>
                <w:lang w:val="en-US" w:eastAsia="zh-CN"/>
              </w:rPr>
              <w:t>T</w:t>
            </w:r>
            <w:r>
              <w:rPr>
                <w:rFonts w:hint="default" w:ascii="Calibri" w:hAnsi="Calibri" w:eastAsia="宋体" w:cs="Calibri"/>
                <w:color w:val="auto"/>
                <w:sz w:val="18"/>
                <w:szCs w:val="18"/>
                <w:highlight w:val="none"/>
              </w:rPr>
              <w:t>he ratio of financial institution loan balance to GDP</w:t>
            </w:r>
          </w:p>
        </w:tc>
      </w:tr>
      <w:tr w14:paraId="0DCB1254">
        <w:tblPrEx>
          <w:tblBorders>
            <w:top w:val="single" w:color="000000" w:sz="12" w:space="0"/>
            <w:left w:val="none" w:color="auto" w:sz="0" w:space="0"/>
            <w:bottom w:val="single" w:color="000000" w:sz="12" w:space="0"/>
            <w:right w:val="none" w:color="auto" w:sz="0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47" w:type="dxa"/>
            <w:vMerge w:val="continue"/>
            <w:tcBorders>
              <w:right w:val="nil"/>
            </w:tcBorders>
            <w:noWrap w:val="0"/>
            <w:vAlign w:val="center"/>
          </w:tcPr>
          <w:p w14:paraId="6463EA1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Calibri" w:hAnsi="Calibri" w:eastAsia="宋体" w:cs="Calibri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4EB4EBBF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Calibri" w:hAnsi="Calibri" w:eastAsia="宋体" w:cs="Calibri"/>
                <w:color w:val="auto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default" w:ascii="Calibri" w:hAnsi="Calibri" w:eastAsia="宋体" w:cs="Calibri"/>
                <w:kern w:val="0"/>
                <w:sz w:val="18"/>
                <w:szCs w:val="18"/>
                <w:lang w:val="en-US" w:eastAsia="zh-CN" w:bidi="ar"/>
              </w:rPr>
              <w:t>Green Governance Level</w:t>
            </w:r>
          </w:p>
        </w:tc>
        <w:tc>
          <w:tcPr>
            <w:tcW w:w="5876" w:type="dxa"/>
            <w:tcBorders>
              <w:top w:val="nil"/>
              <w:left w:val="nil"/>
              <w:bottom w:val="nil"/>
            </w:tcBorders>
            <w:noWrap w:val="0"/>
            <w:vAlign w:val="center"/>
          </w:tcPr>
          <w:p w14:paraId="42D1D3B1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Calibri" w:hAnsi="Calibri" w:eastAsia="宋体" w:cs="Calibri"/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Calibri" w:hAnsi="Calibri" w:eastAsia="宋体" w:cs="Calibri"/>
                <w:kern w:val="0"/>
                <w:sz w:val="18"/>
                <w:szCs w:val="18"/>
                <w:lang w:val="en-US" w:eastAsia="zh-CN" w:bidi="ar"/>
              </w:rPr>
              <w:t>The ratio of investment in environmental pollution control to GDP</w:t>
            </w:r>
          </w:p>
        </w:tc>
      </w:tr>
      <w:tr w14:paraId="4D635ED9">
        <w:tblPrEx>
          <w:tblBorders>
            <w:top w:val="single" w:color="000000" w:sz="12" w:space="0"/>
            <w:left w:val="none" w:color="auto" w:sz="0" w:space="0"/>
            <w:bottom w:val="single" w:color="000000" w:sz="12" w:space="0"/>
            <w:right w:val="none" w:color="auto" w:sz="0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47" w:type="dxa"/>
            <w:vMerge w:val="continue"/>
            <w:tcBorders>
              <w:bottom w:val="single" w:color="auto" w:sz="8" w:space="0"/>
              <w:right w:val="nil"/>
            </w:tcBorders>
            <w:noWrap w:val="0"/>
            <w:vAlign w:val="center"/>
          </w:tcPr>
          <w:p w14:paraId="088593E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Calibri" w:hAnsi="Calibri" w:eastAsia="宋体" w:cs="Calibri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2039" w:type="dxa"/>
            <w:tcBorders>
              <w:top w:val="nil"/>
              <w:left w:val="nil"/>
              <w:bottom w:val="single" w:color="auto" w:sz="8" w:space="0"/>
              <w:right w:val="nil"/>
            </w:tcBorders>
            <w:noWrap w:val="0"/>
            <w:vAlign w:val="center"/>
          </w:tcPr>
          <w:p w14:paraId="62BC8463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Calibri" w:hAnsi="Calibri" w:eastAsia="宋体" w:cs="Calibri"/>
                <w:color w:val="auto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default" w:ascii="Calibri" w:hAnsi="Calibri" w:eastAsia="宋体" w:cs="Calibri"/>
                <w:kern w:val="0"/>
                <w:sz w:val="18"/>
                <w:szCs w:val="18"/>
                <w:lang w:val="en-US" w:eastAsia="zh-CN" w:bidi="ar"/>
              </w:rPr>
              <w:t>Environmental Regulation</w:t>
            </w:r>
          </w:p>
        </w:tc>
        <w:tc>
          <w:tcPr>
            <w:tcW w:w="5876" w:type="dxa"/>
            <w:tcBorders>
              <w:top w:val="nil"/>
              <w:left w:val="nil"/>
              <w:bottom w:val="single" w:color="auto" w:sz="8" w:space="0"/>
            </w:tcBorders>
            <w:noWrap w:val="0"/>
            <w:vAlign w:val="center"/>
          </w:tcPr>
          <w:p w14:paraId="2D373FC0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Calibri" w:hAnsi="Calibri" w:eastAsia="宋体" w:cs="Calibri"/>
                <w:color w:val="auto"/>
                <w:sz w:val="18"/>
                <w:szCs w:val="18"/>
                <w:highlight w:val="none"/>
                <w:lang w:val="en-US"/>
              </w:rPr>
            </w:pPr>
            <w:r>
              <w:rPr>
                <w:rFonts w:hint="default" w:ascii="Calibri" w:hAnsi="Calibri" w:eastAsia="宋体" w:cs="Calibri"/>
                <w:kern w:val="0"/>
                <w:sz w:val="18"/>
                <w:szCs w:val="18"/>
                <w:lang w:val="en-US" w:eastAsia="zh-CN" w:bidi="ar"/>
              </w:rPr>
              <w:t xml:space="preserve"> The frequency of environmental protection keywords in the government work reports</w:t>
            </w:r>
          </w:p>
        </w:tc>
      </w:tr>
    </w:tbl>
    <w:p w14:paraId="50468646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7507500"/>
    <w:rsid w:val="57507500"/>
    <w:rsid w:val="6CEC64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Calibri" w:cs="Times New Roman"/>
      <w:sz w:val="20"/>
      <w:szCs w:val="20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2026-06-08T11:59:00Z</dcterms:created>
  <dc:creator>阚大学</dc:creator>
  <cp:lastModifiedBy>阚大学</cp:lastModifiedBy>
  <dcterms:modified xsi:type="dcterms:W3CDTF">2026-06-08T12:00:55Z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1E63F97BBBD847D7A877DB30AC54D83A_11</vt:lpwstr>
  </property>
  <property fmtid="{D5CDD505-2E9C-101B-9397-08002B2CF9AE}" pid="4" name="KSOTemplateDocerSaveRecord">
    <vt:lpwstr>eyJoZGlkIjoiMDRhYjlmZDY5MjU0Y2E0ZjJjMTc2NmNjYjFhNWI4YTYiLCJ1c2VySWQiOiIxNzYwOTIwODY4In0=</vt:lpwstr>
  </property>
</Properties>
</file>